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仿宋" w:hAnsi="仿宋" w:eastAsia="仿宋" w:cs="仿宋"/>
          <w:b/>
          <w:sz w:val="32"/>
          <w:szCs w:val="32"/>
        </w:rPr>
      </w:pPr>
      <w:r>
        <w:rPr>
          <w:rFonts w:hint="eastAsia" w:ascii="仿宋" w:hAnsi="仿宋" w:eastAsia="仿宋" w:cs="仿宋"/>
          <w:b/>
          <w:sz w:val="32"/>
          <w:szCs w:val="32"/>
        </w:rPr>
        <w:t>辽宁大学新华国际商学院</w:t>
      </w:r>
    </w:p>
    <w:p>
      <w:pPr>
        <w:spacing w:line="540" w:lineRule="exact"/>
        <w:jc w:val="center"/>
        <w:rPr>
          <w:rFonts w:ascii="仿宋" w:hAnsi="仿宋" w:eastAsia="仿宋" w:cs="仿宋"/>
          <w:b/>
          <w:sz w:val="32"/>
          <w:szCs w:val="32"/>
        </w:rPr>
      </w:pPr>
      <w:r>
        <w:rPr>
          <w:rFonts w:ascii="仿宋" w:hAnsi="仿宋" w:eastAsia="仿宋" w:cs="仿宋"/>
          <w:b/>
          <w:sz w:val="32"/>
          <w:szCs w:val="32"/>
        </w:rPr>
        <w:t>202</w:t>
      </w:r>
      <w:r>
        <w:rPr>
          <w:rFonts w:hint="eastAsia" w:ascii="仿宋" w:hAnsi="仿宋" w:eastAsia="仿宋" w:cs="仿宋"/>
          <w:b/>
          <w:sz w:val="32"/>
          <w:szCs w:val="32"/>
        </w:rPr>
        <w:t>3年硕士研究生招生调剂工作实施细则</w:t>
      </w:r>
    </w:p>
    <w:p>
      <w:pPr>
        <w:spacing w:line="540" w:lineRule="exact"/>
        <w:rPr>
          <w:rFonts w:ascii="仿宋" w:hAnsi="仿宋" w:eastAsia="仿宋" w:cs="仿宋"/>
          <w:sz w:val="28"/>
        </w:rPr>
      </w:pPr>
    </w:p>
    <w:p>
      <w:pPr>
        <w:spacing w:line="540" w:lineRule="exact"/>
        <w:rPr>
          <w:rFonts w:ascii="仿宋" w:hAnsi="仿宋" w:eastAsia="仿宋" w:cs="仿宋"/>
          <w:sz w:val="28"/>
        </w:rPr>
      </w:pPr>
      <w:r>
        <w:rPr>
          <w:rFonts w:ascii="仿宋" w:hAnsi="仿宋" w:eastAsia="仿宋" w:cs="仿宋"/>
          <w:sz w:val="28"/>
        </w:rPr>
        <w:tab/>
      </w:r>
      <w:r>
        <w:rPr>
          <w:rFonts w:hint="eastAsia" w:ascii="仿宋" w:hAnsi="仿宋" w:eastAsia="仿宋" w:cs="仿宋"/>
          <w:sz w:val="28"/>
        </w:rPr>
        <w:t>为切实做好硕士研究生调剂工作，辽宁大学新华国际商学院研究生招生工作领导小组在学校研究生招生工作领导小组指导下，参照《辽宁大学</w:t>
      </w:r>
      <w:r>
        <w:rPr>
          <w:rFonts w:ascii="仿宋" w:hAnsi="仿宋" w:eastAsia="仿宋" w:cs="仿宋"/>
          <w:sz w:val="28"/>
        </w:rPr>
        <w:t>202</w:t>
      </w:r>
      <w:r>
        <w:rPr>
          <w:rFonts w:hint="eastAsia" w:ascii="仿宋" w:hAnsi="仿宋" w:eastAsia="仿宋" w:cs="仿宋"/>
          <w:sz w:val="28"/>
        </w:rPr>
        <w:t>3年硕士研究生招生调剂工作办法》，制定本细则并组织实施。</w:t>
      </w:r>
    </w:p>
    <w:p>
      <w:pPr>
        <w:spacing w:line="540" w:lineRule="exact"/>
        <w:ind w:firstLine="562"/>
        <w:rPr>
          <w:rFonts w:ascii="黑体" w:hAnsi="黑体" w:eastAsia="黑体" w:cs="仿宋"/>
          <w:sz w:val="28"/>
        </w:rPr>
      </w:pPr>
      <w:r>
        <w:rPr>
          <w:rFonts w:hint="eastAsia" w:ascii="黑体" w:hAnsi="黑体" w:eastAsia="黑体" w:cs="仿宋"/>
          <w:sz w:val="28"/>
        </w:rPr>
        <w:t>一、接收调剂考生的基本条件</w:t>
      </w:r>
    </w:p>
    <w:p>
      <w:pPr>
        <w:spacing w:line="54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应为全国统考考试方式的非专项计划考生（报考“退役大学生士兵”专项计划的考生，可申请调剂到普通计划）。</w:t>
      </w:r>
    </w:p>
    <w:p>
      <w:pPr>
        <w:spacing w:line="54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符合调入专业的报考条件。</w:t>
      </w:r>
    </w:p>
    <w:p>
      <w:pPr>
        <w:spacing w:line="54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初试成绩符合第一志愿报考专业在调入地区（一区）的全国初试成绩基本要求。</w:t>
      </w:r>
    </w:p>
    <w:p>
      <w:pPr>
        <w:spacing w:line="54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调入专业与第一志愿报考专业相同或相近,应在同一学科门类范围内。其中学术学位专业仅接收第一志愿报考相同或相近学术学位专业考生的调剂申请。</w:t>
      </w:r>
    </w:p>
    <w:p>
      <w:pPr>
        <w:spacing w:line="56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初试科目与调入专业的初试科目相同或相近，其中初试全国统一命题科目应与调入专业全国统一命题科目相同。</w:t>
      </w:r>
    </w:p>
    <w:p>
      <w:pPr>
        <w:spacing w:line="540" w:lineRule="exact"/>
        <w:ind w:firstLine="560" w:firstLineChars="200"/>
        <w:rPr>
          <w:rFonts w:hint="eastAsia" w:ascii="仿宋" w:hAnsi="仿宋" w:eastAsia="仿宋" w:cs="宋体"/>
          <w:color w:val="000000"/>
          <w:kern w:val="0"/>
          <w:sz w:val="29"/>
          <w:szCs w:val="29"/>
        </w:rPr>
      </w:pPr>
      <w:r>
        <w:rPr>
          <w:rFonts w:hint="eastAsia" w:ascii="仿宋" w:hAnsi="仿宋" w:eastAsia="仿宋" w:cs="仿宋"/>
          <w:color w:val="000000"/>
          <w:sz w:val="28"/>
          <w:szCs w:val="24"/>
        </w:rPr>
        <w:t>文化创意产业管理</w:t>
      </w:r>
      <w:r>
        <w:rPr>
          <w:rFonts w:ascii="仿宋" w:hAnsi="仿宋" w:eastAsia="仿宋" w:cs="仿宋"/>
          <w:color w:val="000000"/>
          <w:sz w:val="28"/>
          <w:szCs w:val="24"/>
        </w:rPr>
        <w:t>[1202Z2]</w:t>
      </w:r>
      <w:r>
        <w:rPr>
          <w:rFonts w:hint="eastAsia" w:ascii="仿宋" w:hAnsi="仿宋" w:eastAsia="仿宋" w:cs="仿宋"/>
          <w:color w:val="000000"/>
          <w:sz w:val="28"/>
          <w:szCs w:val="24"/>
        </w:rPr>
        <w:t>仅</w:t>
      </w:r>
      <w:r>
        <w:rPr>
          <w:rFonts w:hint="eastAsia" w:ascii="仿宋" w:hAnsi="仿宋" w:eastAsia="仿宋"/>
          <w:sz w:val="28"/>
          <w:szCs w:val="28"/>
        </w:rPr>
        <w:t>接收初试已考数学</w:t>
      </w:r>
      <w:r>
        <w:rPr>
          <w:rFonts w:ascii="仿宋" w:hAnsi="仿宋" w:eastAsia="仿宋"/>
          <w:sz w:val="28"/>
          <w:szCs w:val="28"/>
        </w:rPr>
        <w:t>(</w:t>
      </w:r>
      <w:r>
        <w:rPr>
          <w:rFonts w:hint="eastAsia" w:ascii="仿宋" w:hAnsi="仿宋" w:eastAsia="仿宋"/>
          <w:sz w:val="28"/>
          <w:szCs w:val="28"/>
        </w:rPr>
        <w:t>一</w:t>
      </w:r>
      <w:r>
        <w:rPr>
          <w:rFonts w:ascii="仿宋" w:hAnsi="仿宋" w:eastAsia="仿宋"/>
          <w:sz w:val="28"/>
          <w:szCs w:val="28"/>
        </w:rPr>
        <w:t>)[301]</w:t>
      </w:r>
      <w:r>
        <w:rPr>
          <w:rFonts w:hint="eastAsia" w:ascii="仿宋" w:hAnsi="仿宋" w:eastAsia="仿宋"/>
          <w:sz w:val="28"/>
          <w:szCs w:val="28"/>
        </w:rPr>
        <w:t>、数学</w:t>
      </w:r>
      <w:r>
        <w:rPr>
          <w:rFonts w:ascii="仿宋" w:hAnsi="仿宋" w:eastAsia="仿宋"/>
          <w:sz w:val="28"/>
          <w:szCs w:val="28"/>
        </w:rPr>
        <w:t>(</w:t>
      </w:r>
      <w:r>
        <w:rPr>
          <w:rFonts w:hint="eastAsia" w:ascii="仿宋" w:hAnsi="仿宋" w:eastAsia="仿宋"/>
          <w:sz w:val="28"/>
          <w:szCs w:val="28"/>
        </w:rPr>
        <w:t>二</w:t>
      </w:r>
      <w:r>
        <w:rPr>
          <w:rFonts w:ascii="仿宋" w:hAnsi="仿宋" w:eastAsia="仿宋"/>
          <w:sz w:val="28"/>
          <w:szCs w:val="28"/>
        </w:rPr>
        <w:t>)[302]</w:t>
      </w:r>
      <w:r>
        <w:rPr>
          <w:rFonts w:hint="eastAsia" w:ascii="仿宋" w:hAnsi="仿宋" w:eastAsia="仿宋"/>
          <w:sz w:val="28"/>
          <w:szCs w:val="28"/>
        </w:rPr>
        <w:t>或数学</w:t>
      </w:r>
      <w:r>
        <w:rPr>
          <w:rFonts w:ascii="仿宋" w:hAnsi="仿宋" w:eastAsia="仿宋"/>
          <w:sz w:val="28"/>
          <w:szCs w:val="28"/>
        </w:rPr>
        <w:t>(</w:t>
      </w:r>
      <w:r>
        <w:rPr>
          <w:rFonts w:hint="eastAsia" w:ascii="仿宋" w:hAnsi="仿宋" w:eastAsia="仿宋"/>
          <w:sz w:val="28"/>
          <w:szCs w:val="28"/>
        </w:rPr>
        <w:t>三</w:t>
      </w:r>
      <w:r>
        <w:rPr>
          <w:rFonts w:ascii="仿宋" w:hAnsi="仿宋" w:eastAsia="仿宋"/>
          <w:sz w:val="28"/>
          <w:szCs w:val="28"/>
        </w:rPr>
        <w:t>)[30</w:t>
      </w:r>
      <w:r>
        <w:rPr>
          <w:rFonts w:hint="eastAsia" w:ascii="仿宋" w:hAnsi="仿宋" w:eastAsia="仿宋"/>
          <w:sz w:val="28"/>
          <w:szCs w:val="28"/>
          <w:lang w:val="en-US" w:eastAsia="zh-CN"/>
        </w:rPr>
        <w:t>3</w:t>
      </w:r>
      <w:bookmarkStart w:id="0" w:name="_GoBack"/>
      <w:bookmarkEnd w:id="0"/>
      <w:r>
        <w:rPr>
          <w:rFonts w:ascii="仿宋" w:hAnsi="仿宋" w:eastAsia="仿宋"/>
          <w:sz w:val="28"/>
          <w:szCs w:val="28"/>
        </w:rPr>
        <w:t>]</w:t>
      </w:r>
      <w:r>
        <w:rPr>
          <w:rFonts w:hint="eastAsia" w:ascii="仿宋" w:hAnsi="仿宋" w:eastAsia="仿宋"/>
          <w:sz w:val="28"/>
          <w:szCs w:val="28"/>
        </w:rPr>
        <w:t>且第一志愿为学术学位专业考生的调剂申请</w:t>
      </w:r>
      <w:r>
        <w:rPr>
          <w:rFonts w:hint="eastAsia" w:ascii="仿宋" w:hAnsi="仿宋" w:eastAsia="仿宋" w:cs="宋体"/>
          <w:color w:val="000000"/>
          <w:kern w:val="0"/>
          <w:sz w:val="29"/>
          <w:szCs w:val="29"/>
        </w:rPr>
        <w:t>；同时，相关考生初试外国语科目须为英语（一）</w:t>
      </w:r>
      <w:r>
        <w:rPr>
          <w:rFonts w:ascii="仿宋" w:hAnsi="仿宋" w:eastAsia="仿宋" w:cs="宋体"/>
          <w:color w:val="000000"/>
          <w:kern w:val="0"/>
          <w:sz w:val="29"/>
          <w:szCs w:val="29"/>
        </w:rPr>
        <w:t>[201]</w:t>
      </w:r>
      <w:r>
        <w:rPr>
          <w:rFonts w:hint="eastAsia" w:ascii="仿宋" w:hAnsi="仿宋" w:eastAsia="仿宋" w:cs="宋体"/>
          <w:color w:val="000000"/>
          <w:kern w:val="0"/>
          <w:sz w:val="29"/>
          <w:szCs w:val="29"/>
        </w:rPr>
        <w:t>。</w:t>
      </w:r>
    </w:p>
    <w:p>
      <w:pPr>
        <w:spacing w:line="54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调入专业初试科目数量应与第一志愿报考专业初试科目数量一致。</w:t>
      </w:r>
    </w:p>
    <w:p>
      <w:pPr>
        <w:spacing w:line="540" w:lineRule="exact"/>
        <w:ind w:firstLine="560" w:firstLineChars="200"/>
        <w:rPr>
          <w:rFonts w:ascii="黑体" w:hAnsi="黑体" w:eastAsia="黑体" w:cs="仿宋"/>
          <w:sz w:val="28"/>
        </w:rPr>
      </w:pPr>
      <w:r>
        <w:rPr>
          <w:rFonts w:hint="eastAsia" w:ascii="黑体" w:hAnsi="黑体" w:eastAsia="黑体" w:cs="仿宋"/>
          <w:sz w:val="28"/>
        </w:rPr>
        <w:t>二、遴选原则</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坚持“按需招生、全面衡量、择优录取”的原则，严格按照《</w:t>
      </w:r>
      <w:r>
        <w:rPr>
          <w:rFonts w:ascii="仿宋" w:hAnsi="仿宋" w:eastAsia="仿宋"/>
          <w:sz w:val="28"/>
          <w:szCs w:val="28"/>
        </w:rPr>
        <w:t>202</w:t>
      </w:r>
      <w:r>
        <w:rPr>
          <w:rFonts w:hint="eastAsia" w:ascii="仿宋" w:hAnsi="仿宋" w:eastAsia="仿宋"/>
          <w:sz w:val="28"/>
          <w:szCs w:val="28"/>
        </w:rPr>
        <w:t>3年全国硕士研究生招生工作管理规定》确定的考生调剂基本条件和要求，开展调剂生源遴选工作。对申请同一招生单位同一专业、初试科目完全相同的调剂考生，培养单位按考生初试成绩择优遴选进入复试的考生。</w:t>
      </w:r>
    </w:p>
    <w:p>
      <w:pPr>
        <w:spacing w:line="540" w:lineRule="exact"/>
        <w:ind w:firstLine="562"/>
        <w:rPr>
          <w:rFonts w:ascii="黑体" w:hAnsi="黑体" w:eastAsia="黑体" w:cs="仿宋"/>
          <w:sz w:val="28"/>
        </w:rPr>
      </w:pPr>
      <w:r>
        <w:rPr>
          <w:rFonts w:hint="eastAsia" w:ascii="黑体" w:hAnsi="黑体" w:eastAsia="黑体" w:cs="仿宋"/>
          <w:sz w:val="28"/>
        </w:rPr>
        <w:t>三、接收调剂专业及时间</w:t>
      </w:r>
    </w:p>
    <w:p>
      <w:pPr>
        <w:spacing w:line="540" w:lineRule="exact"/>
        <w:ind w:firstLine="560" w:firstLineChars="200"/>
        <w:rPr>
          <w:rFonts w:ascii="仿宋" w:hAnsi="仿宋" w:eastAsia="仿宋" w:cs="仿宋"/>
          <w:sz w:val="28"/>
        </w:rPr>
      </w:pPr>
      <w:r>
        <w:rPr>
          <w:rFonts w:hint="eastAsia" w:ascii="仿宋" w:hAnsi="仿宋" w:eastAsia="仿宋" w:cs="仿宋"/>
          <w:sz w:val="28"/>
        </w:rPr>
        <w:t>接收调剂专业：</w:t>
      </w:r>
      <w:r>
        <w:rPr>
          <w:rFonts w:hint="eastAsia" w:ascii="仿宋" w:hAnsi="仿宋" w:eastAsia="仿宋" w:cs="仿宋"/>
          <w:color w:val="000000"/>
          <w:sz w:val="28"/>
          <w:szCs w:val="24"/>
        </w:rPr>
        <w:t>文化创意产业管理</w:t>
      </w:r>
      <w:r>
        <w:rPr>
          <w:rFonts w:ascii="仿宋" w:hAnsi="仿宋" w:eastAsia="仿宋" w:cs="仿宋"/>
          <w:color w:val="000000"/>
          <w:sz w:val="28"/>
          <w:szCs w:val="24"/>
        </w:rPr>
        <w:t>[1202Z2]</w:t>
      </w:r>
      <w:r>
        <w:rPr>
          <w:rFonts w:hint="eastAsia" w:ascii="仿宋" w:hAnsi="仿宋" w:eastAsia="仿宋" w:cs="仿宋"/>
          <w:color w:val="000000"/>
          <w:sz w:val="28"/>
          <w:szCs w:val="24"/>
        </w:rPr>
        <w:t>。</w:t>
      </w:r>
    </w:p>
    <w:p>
      <w:pPr>
        <w:spacing w:line="540" w:lineRule="exact"/>
        <w:ind w:firstLine="560" w:firstLineChars="200"/>
        <w:rPr>
          <w:rFonts w:ascii="仿宋" w:hAnsi="仿宋" w:eastAsia="仿宋" w:cs="仿宋"/>
          <w:sz w:val="28"/>
        </w:rPr>
      </w:pPr>
      <w:r>
        <w:rPr>
          <w:rFonts w:hint="eastAsia" w:ascii="仿宋" w:hAnsi="仿宋" w:eastAsia="仿宋" w:cs="仿宋"/>
          <w:color w:val="000000"/>
          <w:sz w:val="28"/>
          <w:szCs w:val="24"/>
        </w:rPr>
        <w:t>文化创意产业管理</w:t>
      </w:r>
      <w:r>
        <w:rPr>
          <w:rFonts w:ascii="仿宋" w:hAnsi="仿宋" w:eastAsia="仿宋" w:cs="仿宋"/>
          <w:color w:val="000000"/>
          <w:sz w:val="28"/>
          <w:szCs w:val="24"/>
        </w:rPr>
        <w:t>[1202Z2]</w:t>
      </w:r>
      <w:r>
        <w:rPr>
          <w:rFonts w:hint="eastAsia" w:ascii="仿宋" w:hAnsi="仿宋" w:eastAsia="仿宋" w:cs="仿宋"/>
          <w:color w:val="000000"/>
          <w:sz w:val="28"/>
          <w:szCs w:val="24"/>
        </w:rPr>
        <w:t>专业</w:t>
      </w:r>
      <w:r>
        <w:rPr>
          <w:rFonts w:hint="eastAsia" w:ascii="仿宋" w:hAnsi="仿宋" w:eastAsia="仿宋" w:cs="仿宋"/>
          <w:sz w:val="28"/>
        </w:rPr>
        <w:t>定于</w:t>
      </w:r>
      <w:r>
        <w:rPr>
          <w:rFonts w:ascii="仿宋" w:hAnsi="仿宋" w:eastAsia="仿宋" w:cs="仿宋"/>
          <w:color w:val="FF0000"/>
          <w:sz w:val="28"/>
          <w:shd w:val="clear" w:color="FFFFFF" w:fill="D9D9D9"/>
        </w:rPr>
        <w:t>202</w:t>
      </w:r>
      <w:r>
        <w:rPr>
          <w:rFonts w:hint="eastAsia" w:ascii="仿宋" w:hAnsi="仿宋" w:eastAsia="仿宋" w:cs="仿宋"/>
          <w:color w:val="FF0000"/>
          <w:sz w:val="28"/>
          <w:shd w:val="clear" w:color="FFFFFF" w:fill="D9D9D9"/>
          <w:lang w:val="en-US" w:eastAsia="zh-CN"/>
        </w:rPr>
        <w:t>3</w:t>
      </w:r>
      <w:r>
        <w:rPr>
          <w:rFonts w:hint="eastAsia" w:ascii="仿宋" w:hAnsi="仿宋" w:eastAsia="仿宋" w:cs="仿宋"/>
          <w:color w:val="FF0000"/>
          <w:sz w:val="28"/>
          <w:shd w:val="clear" w:color="FFFFFF" w:fill="D9D9D9"/>
        </w:rPr>
        <w:t>年</w:t>
      </w:r>
      <w:r>
        <w:rPr>
          <w:rFonts w:ascii="仿宋" w:hAnsi="仿宋" w:eastAsia="仿宋" w:cs="仿宋"/>
          <w:color w:val="FF0000"/>
          <w:sz w:val="28"/>
          <w:shd w:val="clear" w:color="FFFFFF" w:fill="D9D9D9"/>
        </w:rPr>
        <w:t>4</w:t>
      </w:r>
      <w:r>
        <w:rPr>
          <w:rFonts w:hint="eastAsia" w:ascii="仿宋" w:hAnsi="仿宋" w:eastAsia="仿宋" w:cs="仿宋"/>
          <w:color w:val="FF0000"/>
          <w:sz w:val="28"/>
          <w:shd w:val="clear" w:color="FFFFFF" w:fill="D9D9D9"/>
        </w:rPr>
        <w:t>月</w:t>
      </w:r>
      <w:r>
        <w:rPr>
          <w:rFonts w:hint="eastAsia" w:ascii="仿宋" w:hAnsi="仿宋" w:eastAsia="仿宋" w:cs="仿宋"/>
          <w:color w:val="FF0000"/>
          <w:sz w:val="28"/>
          <w:shd w:val="clear" w:color="FFFFFF" w:fill="D9D9D9"/>
          <w:lang w:val="en-US" w:eastAsia="zh-CN"/>
        </w:rPr>
        <w:t>6</w:t>
      </w:r>
      <w:r>
        <w:rPr>
          <w:rFonts w:hint="eastAsia" w:ascii="仿宋" w:hAnsi="仿宋" w:eastAsia="仿宋" w:cs="仿宋"/>
          <w:color w:val="FF0000"/>
          <w:sz w:val="28"/>
          <w:shd w:val="clear" w:color="FFFFFF" w:fill="D9D9D9"/>
        </w:rPr>
        <w:t>日</w:t>
      </w:r>
      <w:r>
        <w:rPr>
          <w:rFonts w:ascii="仿宋" w:hAnsi="仿宋" w:eastAsia="仿宋" w:cs="仿宋"/>
          <w:color w:val="FF0000"/>
          <w:sz w:val="28"/>
          <w:shd w:val="clear" w:color="FFFFFF" w:fill="D9D9D9"/>
        </w:rPr>
        <w:t>0:00</w:t>
      </w:r>
      <w:r>
        <w:rPr>
          <w:rFonts w:hint="eastAsia" w:ascii="仿宋" w:hAnsi="仿宋" w:eastAsia="仿宋" w:cs="仿宋"/>
          <w:color w:val="FF0000"/>
          <w:sz w:val="28"/>
          <w:shd w:val="clear" w:color="FFFFFF" w:fill="D9D9D9"/>
        </w:rPr>
        <w:t>至</w:t>
      </w:r>
      <w:r>
        <w:rPr>
          <w:rFonts w:ascii="仿宋" w:hAnsi="仿宋" w:eastAsia="仿宋" w:cs="仿宋"/>
          <w:color w:val="FF0000"/>
          <w:sz w:val="28"/>
          <w:shd w:val="clear" w:color="FFFFFF" w:fill="D9D9D9"/>
        </w:rPr>
        <w:t>12:00</w:t>
      </w:r>
      <w:r>
        <w:rPr>
          <w:rFonts w:hint="eastAsia" w:ascii="仿宋" w:hAnsi="仿宋" w:eastAsia="仿宋" w:cs="仿宋"/>
          <w:color w:val="FF0000"/>
          <w:sz w:val="28"/>
          <w:shd w:val="clear" w:color="FFFFFF" w:fill="D9D9D9"/>
        </w:rPr>
        <w:t>之间</w:t>
      </w:r>
      <w:r>
        <w:rPr>
          <w:rFonts w:hint="eastAsia" w:ascii="仿宋" w:hAnsi="仿宋" w:eastAsia="仿宋" w:cs="仿宋"/>
          <w:sz w:val="28"/>
        </w:rPr>
        <w:t>在“全国硕士生招生调剂服务系统”上首次发布调剂信息。</w:t>
      </w:r>
    </w:p>
    <w:p>
      <w:pPr>
        <w:spacing w:line="540" w:lineRule="exact"/>
        <w:ind w:firstLine="562"/>
        <w:rPr>
          <w:rFonts w:ascii="黑体" w:hAnsi="黑体" w:eastAsia="黑体" w:cs="仿宋"/>
          <w:sz w:val="28"/>
        </w:rPr>
      </w:pPr>
      <w:r>
        <w:rPr>
          <w:rFonts w:hint="eastAsia" w:ascii="黑体" w:hAnsi="黑体" w:eastAsia="黑体" w:cs="仿宋"/>
          <w:sz w:val="28"/>
        </w:rPr>
        <w:t>四、调剂工作程序及要求</w:t>
      </w:r>
    </w:p>
    <w:p>
      <w:pPr>
        <w:spacing w:line="540" w:lineRule="exact"/>
        <w:ind w:firstLine="562"/>
        <w:rPr>
          <w:rFonts w:ascii="仿宋" w:hAnsi="仿宋" w:eastAsia="仿宋"/>
          <w:sz w:val="28"/>
          <w:szCs w:val="28"/>
        </w:rPr>
      </w:pPr>
      <w:r>
        <w:rPr>
          <w:rFonts w:ascii="仿宋" w:hAnsi="仿宋" w:eastAsia="仿宋" w:cs="仿宋"/>
          <w:sz w:val="28"/>
        </w:rPr>
        <w:t>1.</w:t>
      </w:r>
      <w:r>
        <w:rPr>
          <w:rFonts w:hint="eastAsia" w:ascii="仿宋" w:hAnsi="仿宋" w:eastAsia="仿宋" w:cs="仿宋"/>
          <w:sz w:val="28"/>
        </w:rPr>
        <w:t>本单位</w:t>
      </w:r>
      <w:r>
        <w:rPr>
          <w:rFonts w:hint="eastAsia" w:ascii="仿宋" w:hAnsi="仿宋" w:eastAsia="仿宋"/>
          <w:sz w:val="28"/>
          <w:szCs w:val="28"/>
        </w:rPr>
        <w:t>接收所有调剂考生均通过“全国硕士研究生招生调剂服务系统”进行。接到复试通知的考生须在指定时间内回复确认，并按时参加复试。</w:t>
      </w:r>
    </w:p>
    <w:p>
      <w:pPr>
        <w:spacing w:line="540" w:lineRule="exact"/>
        <w:ind w:firstLine="562"/>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调剂考生须在复试考核开始前完成资格审查的材料提交与审核。调剂考生复试内容要求与一志愿考生复试内容要求一致。详情见《辽宁大学</w:t>
      </w:r>
      <w:r>
        <w:rPr>
          <w:rFonts w:ascii="仿宋" w:hAnsi="仿宋" w:eastAsia="仿宋"/>
          <w:sz w:val="28"/>
          <w:szCs w:val="28"/>
        </w:rPr>
        <w:t>202</w:t>
      </w:r>
      <w:r>
        <w:rPr>
          <w:rFonts w:hint="eastAsia" w:ascii="仿宋" w:hAnsi="仿宋" w:eastAsia="仿宋"/>
          <w:sz w:val="28"/>
          <w:szCs w:val="28"/>
        </w:rPr>
        <w:t>3年硕士研究生招生复试录取工作办法》和《辽宁大学</w:t>
      </w:r>
      <w:r>
        <w:rPr>
          <w:rFonts w:hint="eastAsia" w:ascii="仿宋" w:hAnsi="仿宋" w:eastAsia="仿宋"/>
          <w:sz w:val="28"/>
          <w:szCs w:val="28"/>
          <w:lang w:val="en-US" w:eastAsia="zh-CN"/>
        </w:rPr>
        <w:t>新华国际商学院</w:t>
      </w:r>
      <w:r>
        <w:rPr>
          <w:rFonts w:ascii="仿宋" w:hAnsi="仿宋" w:eastAsia="仿宋"/>
          <w:sz w:val="28"/>
          <w:szCs w:val="28"/>
        </w:rPr>
        <w:t>202</w:t>
      </w:r>
      <w:r>
        <w:rPr>
          <w:rFonts w:hint="eastAsia" w:ascii="仿宋" w:hAnsi="仿宋" w:eastAsia="仿宋"/>
          <w:sz w:val="28"/>
          <w:szCs w:val="28"/>
        </w:rPr>
        <w:t>3年硕士研究生招生复试工作实施细则》。</w:t>
      </w:r>
    </w:p>
    <w:p>
      <w:pPr>
        <w:spacing w:line="540" w:lineRule="exact"/>
        <w:ind w:firstLine="562"/>
        <w:rPr>
          <w:rFonts w:hint="eastAsia" w:ascii="仿宋" w:hAnsi="仿宋" w:eastAsia="仿宋"/>
          <w:sz w:val="28"/>
          <w:szCs w:val="28"/>
        </w:rPr>
      </w:pPr>
      <w:r>
        <w:rPr>
          <w:rFonts w:ascii="仿宋" w:hAnsi="仿宋" w:eastAsia="仿宋"/>
          <w:sz w:val="28"/>
          <w:szCs w:val="28"/>
        </w:rPr>
        <w:t>3.</w:t>
      </w:r>
      <w:r>
        <w:rPr>
          <w:rFonts w:hint="eastAsia" w:ascii="仿宋" w:hAnsi="仿宋" w:eastAsia="仿宋"/>
          <w:sz w:val="28"/>
          <w:szCs w:val="28"/>
        </w:rPr>
        <w:t>调剂考生采取的复试方式一般为等额复试。</w:t>
      </w:r>
    </w:p>
    <w:p>
      <w:pPr>
        <w:spacing w:line="540" w:lineRule="exact"/>
        <w:ind w:firstLine="562"/>
        <w:rPr>
          <w:rFonts w:ascii="黑体" w:hAnsi="黑体" w:eastAsia="黑体" w:cs="仿宋"/>
          <w:sz w:val="28"/>
        </w:rPr>
      </w:pPr>
      <w:r>
        <w:rPr>
          <w:rFonts w:hint="eastAsia" w:ascii="黑体" w:hAnsi="黑体" w:eastAsia="黑体" w:cs="仿宋"/>
          <w:sz w:val="28"/>
        </w:rPr>
        <w:t>五、调剂录取工作</w:t>
      </w:r>
    </w:p>
    <w:p>
      <w:pPr>
        <w:spacing w:line="540" w:lineRule="exact"/>
        <w:ind w:firstLine="562"/>
        <w:rPr>
          <w:rFonts w:ascii="仿宋" w:hAnsi="仿宋" w:eastAsia="仿宋" w:cs="仿宋"/>
          <w:sz w:val="28"/>
        </w:rPr>
      </w:pPr>
      <w:r>
        <w:rPr>
          <w:rFonts w:hint="eastAsia" w:ascii="仿宋" w:hAnsi="仿宋" w:eastAsia="仿宋" w:cs="仿宋"/>
          <w:sz w:val="28"/>
        </w:rPr>
        <w:t>调剂考生的录取工作按照《辽宁大学</w:t>
      </w:r>
      <w:r>
        <w:rPr>
          <w:rFonts w:hint="eastAsia" w:ascii="仿宋" w:hAnsi="仿宋" w:eastAsia="仿宋" w:cs="仿宋"/>
          <w:sz w:val="28"/>
          <w:lang w:val="en-US" w:eastAsia="zh-CN"/>
        </w:rPr>
        <w:t>新华国际商学院</w:t>
      </w:r>
      <w:r>
        <w:rPr>
          <w:rFonts w:hint="eastAsia" w:ascii="仿宋" w:hAnsi="仿宋" w:eastAsia="仿宋" w:cs="仿宋"/>
          <w:sz w:val="28"/>
        </w:rPr>
        <w:t>复试工作实施细则》执行。</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学校研究生招生工作领导小组审核调剂拟录取考生名单后报省级教育招生考试机构审定。</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调剂拟录取名单由研究生院进行公示，公示期为</w:t>
      </w:r>
      <w:r>
        <w:rPr>
          <w:rFonts w:ascii="仿宋" w:hAnsi="仿宋" w:eastAsia="仿宋"/>
          <w:sz w:val="28"/>
          <w:szCs w:val="28"/>
        </w:rPr>
        <w:t>10</w:t>
      </w:r>
      <w:r>
        <w:rPr>
          <w:rFonts w:hint="eastAsia" w:ascii="仿宋" w:hAnsi="仿宋" w:eastAsia="仿宋"/>
          <w:sz w:val="28"/>
          <w:szCs w:val="28"/>
        </w:rPr>
        <w:t>个工作日。</w:t>
      </w:r>
    </w:p>
    <w:p>
      <w:pPr>
        <w:spacing w:line="540" w:lineRule="exact"/>
        <w:ind w:firstLine="562"/>
        <w:rPr>
          <w:rFonts w:ascii="黑体" w:hAnsi="黑体" w:eastAsia="黑体" w:cs="仿宋"/>
          <w:sz w:val="28"/>
        </w:rPr>
      </w:pPr>
      <w:r>
        <w:rPr>
          <w:rFonts w:hint="eastAsia" w:ascii="黑体" w:hAnsi="黑体" w:eastAsia="黑体" w:cs="仿宋"/>
          <w:sz w:val="28"/>
        </w:rPr>
        <w:t>六、调剂工作的监督</w:t>
      </w:r>
    </w:p>
    <w:p>
      <w:pPr>
        <w:spacing w:line="540" w:lineRule="exact"/>
        <w:ind w:firstLine="560"/>
        <w:rPr>
          <w:rFonts w:ascii="仿宋" w:hAnsi="仿宋" w:eastAsia="仿宋" w:cs="仿宋"/>
          <w:sz w:val="28"/>
        </w:rPr>
      </w:pPr>
      <w:r>
        <w:rPr>
          <w:rFonts w:hint="eastAsia" w:ascii="仿宋" w:hAnsi="仿宋" w:eastAsia="仿宋" w:cs="仿宋"/>
          <w:sz w:val="28"/>
          <w:lang w:val="en-US" w:eastAsia="zh-CN"/>
        </w:rPr>
        <w:t>新华国际商学院</w:t>
      </w:r>
      <w:r>
        <w:rPr>
          <w:rFonts w:hint="eastAsia" w:ascii="仿宋" w:hAnsi="仿宋" w:eastAsia="仿宋" w:cs="仿宋"/>
          <w:sz w:val="28"/>
        </w:rPr>
        <w:t>研究生招生工作领导小组对本单位调剂、复试过程和复试结果进行指导与审查，严肃处理违纪违规事件。</w:t>
      </w:r>
    </w:p>
    <w:p>
      <w:pPr>
        <w:spacing w:line="540" w:lineRule="exact"/>
        <w:ind w:firstLine="560" w:firstLineChars="200"/>
        <w:rPr>
          <w:rFonts w:hint="default" w:ascii="仿宋" w:hAnsi="仿宋" w:eastAsia="仿宋" w:cs="仿宋"/>
          <w:sz w:val="28"/>
          <w:lang w:val="en-US" w:eastAsia="zh-CN"/>
        </w:rPr>
      </w:pPr>
      <w:r>
        <w:rPr>
          <w:rFonts w:hint="eastAsia" w:ascii="仿宋" w:hAnsi="仿宋" w:eastAsia="仿宋" w:cs="仿宋"/>
          <w:sz w:val="28"/>
        </w:rPr>
        <w:t>辽宁大学</w:t>
      </w:r>
      <w:r>
        <w:rPr>
          <w:rFonts w:hint="eastAsia" w:ascii="仿宋" w:hAnsi="仿宋" w:eastAsia="仿宋" w:cs="仿宋"/>
          <w:sz w:val="28"/>
          <w:lang w:val="en-US" w:eastAsia="zh-CN"/>
        </w:rPr>
        <w:t>新华国际商学院</w:t>
      </w:r>
      <w:r>
        <w:rPr>
          <w:rFonts w:hint="eastAsia" w:ascii="仿宋" w:hAnsi="仿宋" w:eastAsia="仿宋" w:cs="仿宋"/>
          <w:sz w:val="28"/>
        </w:rPr>
        <w:t>研究生办公室电话：</w:t>
      </w:r>
      <w:r>
        <w:rPr>
          <w:rFonts w:ascii="仿宋" w:hAnsi="仿宋" w:eastAsia="仿宋" w:cs="仿宋"/>
          <w:sz w:val="28"/>
        </w:rPr>
        <w:t>024-</w:t>
      </w:r>
      <w:r>
        <w:rPr>
          <w:rFonts w:hint="eastAsia" w:ascii="仿宋" w:hAnsi="仿宋" w:eastAsia="仿宋" w:cs="仿宋"/>
          <w:sz w:val="28"/>
          <w:lang w:val="en-US" w:eastAsia="zh-CN"/>
        </w:rPr>
        <w:t>62602051</w:t>
      </w:r>
    </w:p>
    <w:p>
      <w:pPr>
        <w:spacing w:line="540" w:lineRule="exact"/>
        <w:ind w:firstLine="560" w:firstLineChars="200"/>
        <w:rPr>
          <w:rFonts w:ascii="仿宋" w:hAnsi="仿宋" w:eastAsia="仿宋"/>
          <w:sz w:val="28"/>
          <w:szCs w:val="28"/>
        </w:rPr>
      </w:pPr>
      <w:r>
        <w:rPr>
          <w:rFonts w:hint="eastAsia" w:ascii="仿宋" w:hAnsi="仿宋" w:eastAsia="仿宋"/>
          <w:sz w:val="28"/>
          <w:szCs w:val="28"/>
        </w:rPr>
        <w:t>本实施细则由</w:t>
      </w:r>
      <w:r>
        <w:rPr>
          <w:rFonts w:hint="eastAsia" w:ascii="仿宋" w:hAnsi="仿宋" w:eastAsia="仿宋"/>
          <w:sz w:val="28"/>
          <w:szCs w:val="28"/>
          <w:lang w:val="en-US" w:eastAsia="zh-CN"/>
        </w:rPr>
        <w:t>新华国际商学院</w:t>
      </w:r>
      <w:r>
        <w:rPr>
          <w:rFonts w:hint="eastAsia" w:ascii="仿宋" w:hAnsi="仿宋" w:eastAsia="仿宋"/>
          <w:sz w:val="28"/>
          <w:szCs w:val="28"/>
        </w:rPr>
        <w:t>负责解释，如同国家、辽宁省有关政策规定存在冲突，按国家、辽宁省关政策规定执行。</w:t>
      </w:r>
    </w:p>
    <w:p>
      <w:pPr>
        <w:spacing w:line="540" w:lineRule="exact"/>
        <w:ind w:firstLine="560" w:firstLineChars="200"/>
        <w:rPr>
          <w:rFonts w:ascii="仿宋" w:hAnsi="仿宋" w:eastAsia="仿宋"/>
          <w:sz w:val="28"/>
          <w:szCs w:val="28"/>
        </w:rPr>
      </w:pPr>
    </w:p>
    <w:p>
      <w:pPr>
        <w:spacing w:line="540" w:lineRule="exact"/>
        <w:ind w:firstLine="560" w:firstLineChars="200"/>
        <w:rPr>
          <w:rFonts w:ascii="仿宋" w:hAnsi="仿宋" w:eastAsia="仿宋"/>
          <w:sz w:val="28"/>
          <w:szCs w:val="28"/>
        </w:rPr>
      </w:pPr>
    </w:p>
    <w:p>
      <w:pPr>
        <w:spacing w:line="540" w:lineRule="exact"/>
        <w:ind w:firstLine="1680" w:firstLineChars="600"/>
        <w:jc w:val="right"/>
        <w:rPr>
          <w:rFonts w:hint="eastAsia" w:ascii="仿宋" w:hAnsi="仿宋" w:eastAsia="仿宋" w:cs="仿宋"/>
          <w:sz w:val="28"/>
          <w:lang w:eastAsia="zh-CN"/>
        </w:rPr>
      </w:pPr>
      <w:r>
        <w:rPr>
          <w:rFonts w:ascii="仿宋" w:hAnsi="仿宋" w:eastAsia="仿宋"/>
          <w:sz w:val="28"/>
          <w:szCs w:val="28"/>
        </w:rPr>
        <w:t xml:space="preserve">        </w:t>
      </w:r>
      <w:r>
        <w:rPr>
          <w:rFonts w:hint="eastAsia" w:ascii="仿宋" w:hAnsi="仿宋" w:eastAsia="仿宋" w:cs="仿宋"/>
          <w:sz w:val="28"/>
        </w:rPr>
        <w:t>辽宁大学</w:t>
      </w:r>
      <w:r>
        <w:rPr>
          <w:rFonts w:hint="eastAsia" w:ascii="仿宋" w:hAnsi="仿宋" w:eastAsia="仿宋" w:cs="仿宋"/>
          <w:sz w:val="28"/>
          <w:lang w:val="en-US" w:eastAsia="zh-CN"/>
        </w:rPr>
        <w:t>新华国际商学院</w:t>
      </w:r>
    </w:p>
    <w:p>
      <w:pPr>
        <w:spacing w:line="540" w:lineRule="exact"/>
        <w:ind w:firstLine="1680" w:firstLineChars="600"/>
        <w:jc w:val="right"/>
        <w:rPr>
          <w:rFonts w:ascii="仿宋" w:hAnsi="仿宋" w:eastAsia="仿宋"/>
          <w:sz w:val="28"/>
          <w:szCs w:val="28"/>
        </w:rPr>
      </w:pPr>
      <w:r>
        <w:rPr>
          <w:rFonts w:ascii="仿宋" w:hAnsi="仿宋" w:eastAsia="仿宋" w:cs="仿宋"/>
          <w:sz w:val="28"/>
        </w:rPr>
        <w:t xml:space="preserve">         </w:t>
      </w:r>
      <w:r>
        <w:rPr>
          <w:rFonts w:hint="eastAsia" w:ascii="仿宋" w:hAnsi="仿宋" w:eastAsia="仿宋"/>
          <w:sz w:val="28"/>
          <w:szCs w:val="28"/>
        </w:rPr>
        <w:t>二○二三年三月</w:t>
      </w:r>
    </w:p>
    <w:p>
      <w:pPr>
        <w:spacing w:line="540" w:lineRule="exact"/>
        <w:jc w:val="left"/>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2NWE4ZmUzNjlkYzhhMGUzNGIzMjNkZjYzNmE1NGYifQ=="/>
    <w:docVar w:name="KSO_WPS_MARK_KEY" w:val="f89ac487-8f3b-486a-846f-0a64a4a1778f"/>
  </w:docVars>
  <w:rsids>
    <w:rsidRoot w:val="005F2420"/>
    <w:rsid w:val="000421DE"/>
    <w:rsid w:val="00050C75"/>
    <w:rsid w:val="00060831"/>
    <w:rsid w:val="00066EAA"/>
    <w:rsid w:val="00091CB6"/>
    <w:rsid w:val="00092AB5"/>
    <w:rsid w:val="000A2D0F"/>
    <w:rsid w:val="000C47F1"/>
    <w:rsid w:val="000F5BB2"/>
    <w:rsid w:val="0013181F"/>
    <w:rsid w:val="001A0224"/>
    <w:rsid w:val="001A27EF"/>
    <w:rsid w:val="001A6D47"/>
    <w:rsid w:val="001B581B"/>
    <w:rsid w:val="001B68DC"/>
    <w:rsid w:val="001C1298"/>
    <w:rsid w:val="00215AF3"/>
    <w:rsid w:val="00215E80"/>
    <w:rsid w:val="00224181"/>
    <w:rsid w:val="002253AF"/>
    <w:rsid w:val="00226740"/>
    <w:rsid w:val="0024779D"/>
    <w:rsid w:val="0027787B"/>
    <w:rsid w:val="002B51BB"/>
    <w:rsid w:val="002E6772"/>
    <w:rsid w:val="002E7020"/>
    <w:rsid w:val="0032384D"/>
    <w:rsid w:val="00350988"/>
    <w:rsid w:val="003869BD"/>
    <w:rsid w:val="003A4BC0"/>
    <w:rsid w:val="003B37E4"/>
    <w:rsid w:val="003C70BD"/>
    <w:rsid w:val="0040465D"/>
    <w:rsid w:val="0040648D"/>
    <w:rsid w:val="00442A76"/>
    <w:rsid w:val="0046676D"/>
    <w:rsid w:val="00471F92"/>
    <w:rsid w:val="00496902"/>
    <w:rsid w:val="004A353F"/>
    <w:rsid w:val="004A7987"/>
    <w:rsid w:val="004B4381"/>
    <w:rsid w:val="004C561E"/>
    <w:rsid w:val="004E78C3"/>
    <w:rsid w:val="004F7012"/>
    <w:rsid w:val="00523815"/>
    <w:rsid w:val="005246DF"/>
    <w:rsid w:val="00546220"/>
    <w:rsid w:val="0056594D"/>
    <w:rsid w:val="00574BF2"/>
    <w:rsid w:val="005911EB"/>
    <w:rsid w:val="005B1733"/>
    <w:rsid w:val="005B6782"/>
    <w:rsid w:val="005C243A"/>
    <w:rsid w:val="005F2420"/>
    <w:rsid w:val="00615222"/>
    <w:rsid w:val="00617A52"/>
    <w:rsid w:val="00631286"/>
    <w:rsid w:val="006459E1"/>
    <w:rsid w:val="00654949"/>
    <w:rsid w:val="00666755"/>
    <w:rsid w:val="006D203E"/>
    <w:rsid w:val="006D6A49"/>
    <w:rsid w:val="006E2C57"/>
    <w:rsid w:val="00712847"/>
    <w:rsid w:val="00754659"/>
    <w:rsid w:val="00777C89"/>
    <w:rsid w:val="007F1F03"/>
    <w:rsid w:val="00807F67"/>
    <w:rsid w:val="008445CB"/>
    <w:rsid w:val="00853852"/>
    <w:rsid w:val="00864011"/>
    <w:rsid w:val="0087562C"/>
    <w:rsid w:val="0088719C"/>
    <w:rsid w:val="008879B0"/>
    <w:rsid w:val="00893FD9"/>
    <w:rsid w:val="008A3DB8"/>
    <w:rsid w:val="008A468E"/>
    <w:rsid w:val="008B6FFC"/>
    <w:rsid w:val="008C4C82"/>
    <w:rsid w:val="008D42BA"/>
    <w:rsid w:val="008D4C7F"/>
    <w:rsid w:val="008E05F8"/>
    <w:rsid w:val="008E3D67"/>
    <w:rsid w:val="008E4E38"/>
    <w:rsid w:val="008F1004"/>
    <w:rsid w:val="00941DC2"/>
    <w:rsid w:val="00943826"/>
    <w:rsid w:val="00961733"/>
    <w:rsid w:val="00996D63"/>
    <w:rsid w:val="009A3849"/>
    <w:rsid w:val="009A6B06"/>
    <w:rsid w:val="009B2167"/>
    <w:rsid w:val="009D1875"/>
    <w:rsid w:val="009E6D4B"/>
    <w:rsid w:val="009F276E"/>
    <w:rsid w:val="00A207BF"/>
    <w:rsid w:val="00A2636C"/>
    <w:rsid w:val="00A32CF1"/>
    <w:rsid w:val="00A64059"/>
    <w:rsid w:val="00A70B19"/>
    <w:rsid w:val="00AF225B"/>
    <w:rsid w:val="00AF31C7"/>
    <w:rsid w:val="00B728E5"/>
    <w:rsid w:val="00B73467"/>
    <w:rsid w:val="00B83DDE"/>
    <w:rsid w:val="00B915A7"/>
    <w:rsid w:val="00BA54B0"/>
    <w:rsid w:val="00BB7E38"/>
    <w:rsid w:val="00BC0971"/>
    <w:rsid w:val="00BD726D"/>
    <w:rsid w:val="00BF0C4C"/>
    <w:rsid w:val="00C20873"/>
    <w:rsid w:val="00C424C3"/>
    <w:rsid w:val="00C53CEA"/>
    <w:rsid w:val="00CC4649"/>
    <w:rsid w:val="00CE20BC"/>
    <w:rsid w:val="00CF0F46"/>
    <w:rsid w:val="00CF50BE"/>
    <w:rsid w:val="00D31AAE"/>
    <w:rsid w:val="00D80640"/>
    <w:rsid w:val="00DA2683"/>
    <w:rsid w:val="00DE7ECF"/>
    <w:rsid w:val="00DF3DB1"/>
    <w:rsid w:val="00E20E7F"/>
    <w:rsid w:val="00E23B9F"/>
    <w:rsid w:val="00E843EA"/>
    <w:rsid w:val="00EE278E"/>
    <w:rsid w:val="00F17FCE"/>
    <w:rsid w:val="00FE2384"/>
    <w:rsid w:val="11324F46"/>
    <w:rsid w:val="12EA1E61"/>
    <w:rsid w:val="17A11EA0"/>
    <w:rsid w:val="2DE869D2"/>
    <w:rsid w:val="31AA22FE"/>
    <w:rsid w:val="48CA5861"/>
    <w:rsid w:val="567676F4"/>
    <w:rsid w:val="624A51EB"/>
    <w:rsid w:val="635372B5"/>
    <w:rsid w:val="6A9C55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qFormat/>
    <w:uiPriority w:val="99"/>
    <w:pPr>
      <w:jc w:val="left"/>
    </w:pPr>
    <w:rPr>
      <w:kern w:val="0"/>
      <w:sz w:val="20"/>
      <w:szCs w:val="20"/>
    </w:rPr>
  </w:style>
  <w:style w:type="paragraph" w:styleId="3">
    <w:name w:val="Date"/>
    <w:basedOn w:val="1"/>
    <w:next w:val="1"/>
    <w:link w:val="12"/>
    <w:semiHidden/>
    <w:qFormat/>
    <w:uiPriority w:val="99"/>
    <w:pPr>
      <w:ind w:left="100" w:leftChars="2500"/>
    </w:pPr>
    <w:rPr>
      <w:kern w:val="0"/>
      <w:sz w:val="20"/>
      <w:szCs w:val="20"/>
    </w:rPr>
  </w:style>
  <w:style w:type="paragraph" w:styleId="4">
    <w:name w:val="Balloon Text"/>
    <w:basedOn w:val="1"/>
    <w:link w:val="13"/>
    <w:semiHidden/>
    <w:qFormat/>
    <w:uiPriority w:val="99"/>
    <w:rPr>
      <w:kern w:val="0"/>
      <w:sz w:val="18"/>
      <w:szCs w:val="18"/>
    </w:rPr>
  </w:style>
  <w:style w:type="paragraph" w:styleId="5">
    <w:name w:val="footer"/>
    <w:basedOn w:val="1"/>
    <w:link w:val="14"/>
    <w:qFormat/>
    <w:uiPriority w:val="99"/>
    <w:pPr>
      <w:tabs>
        <w:tab w:val="center" w:pos="4153"/>
        <w:tab w:val="right" w:pos="8306"/>
      </w:tabs>
      <w:snapToGrid w:val="0"/>
      <w:jc w:val="left"/>
    </w:pPr>
    <w:rPr>
      <w:kern w:val="0"/>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annotation subject"/>
    <w:basedOn w:val="2"/>
    <w:next w:val="2"/>
    <w:link w:val="16"/>
    <w:semiHidden/>
    <w:qFormat/>
    <w:uiPriority w:val="99"/>
    <w:rPr>
      <w:b/>
      <w:bCs/>
    </w:rPr>
  </w:style>
  <w:style w:type="character" w:styleId="10">
    <w:name w:val="annotation reference"/>
    <w:semiHidden/>
    <w:qFormat/>
    <w:uiPriority w:val="99"/>
    <w:rPr>
      <w:rFonts w:cs="Times New Roman"/>
      <w:sz w:val="21"/>
    </w:rPr>
  </w:style>
  <w:style w:type="character" w:customStyle="1" w:styleId="11">
    <w:name w:val="批注文字 Char"/>
    <w:link w:val="2"/>
    <w:semiHidden/>
    <w:qFormat/>
    <w:locked/>
    <w:uiPriority w:val="99"/>
    <w:rPr>
      <w:rFonts w:cs="Times New Roman"/>
    </w:rPr>
  </w:style>
  <w:style w:type="character" w:customStyle="1" w:styleId="12">
    <w:name w:val="日期 Char"/>
    <w:link w:val="3"/>
    <w:semiHidden/>
    <w:qFormat/>
    <w:locked/>
    <w:uiPriority w:val="99"/>
    <w:rPr>
      <w:rFonts w:cs="Times New Roman"/>
    </w:rPr>
  </w:style>
  <w:style w:type="character" w:customStyle="1" w:styleId="13">
    <w:name w:val="批注框文本 Char"/>
    <w:link w:val="4"/>
    <w:semiHidden/>
    <w:qFormat/>
    <w:locked/>
    <w:uiPriority w:val="99"/>
    <w:rPr>
      <w:rFonts w:cs="Times New Roman"/>
      <w:sz w:val="18"/>
    </w:rPr>
  </w:style>
  <w:style w:type="character" w:customStyle="1" w:styleId="14">
    <w:name w:val="页脚 Char"/>
    <w:link w:val="5"/>
    <w:qFormat/>
    <w:locked/>
    <w:uiPriority w:val="99"/>
    <w:rPr>
      <w:rFonts w:cs="Times New Roman"/>
      <w:sz w:val="18"/>
    </w:rPr>
  </w:style>
  <w:style w:type="character" w:customStyle="1" w:styleId="15">
    <w:name w:val="页眉 Char"/>
    <w:link w:val="6"/>
    <w:locked/>
    <w:uiPriority w:val="99"/>
    <w:rPr>
      <w:rFonts w:cs="Times New Roman"/>
      <w:sz w:val="18"/>
    </w:rPr>
  </w:style>
  <w:style w:type="character" w:customStyle="1" w:styleId="16">
    <w:name w:val="批注主题 Char"/>
    <w:link w:val="7"/>
    <w:semiHidden/>
    <w:qFormat/>
    <w:locked/>
    <w:uiPriority w:val="99"/>
    <w:rPr>
      <w:rFonts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用户</Company>
  <Pages>3</Pages>
  <Words>1179</Words>
  <Characters>1265</Characters>
  <Lines>11</Lines>
  <Paragraphs>3</Paragraphs>
  <TotalTime>4</TotalTime>
  <ScaleCrop>false</ScaleCrop>
  <LinksUpToDate>false</LinksUpToDate>
  <CharactersWithSpaces>1283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2018-03-21T01:50:00Z</dcterms:created>
  <dc:creator>Windows 用户</dc:creator>
  <cp:lastModifiedBy>yining</cp:lastModifiedBy>
  <cp:lastPrinted>2018-03-21T01:54:00Z</cp:lastPrinted>
  <dcterms:modified xsi:type="dcterms:W3CDTF">2023-03-30T01:54:10Z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42F7BDB4352649E29E406059407580A0</vt:lpwstr>
  </property>
</Properties>
</file>